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6051" w14:textId="77777777" w:rsidR="000E773A" w:rsidRDefault="000E773A">
      <w:pPr>
        <w:tabs>
          <w:tab w:val="right" w:pos="6480"/>
        </w:tabs>
      </w:pPr>
      <w:bookmarkStart w:id="0" w:name="_GoBack"/>
      <w:bookmarkEnd w:id="0"/>
    </w:p>
    <w:p w14:paraId="779DCC1A" w14:textId="77777777" w:rsidR="000E773A" w:rsidRDefault="000E773A">
      <w:pPr>
        <w:tabs>
          <w:tab w:val="right" w:pos="6480"/>
        </w:tabs>
        <w:jc w:val="center"/>
      </w:pPr>
      <w:r>
        <w:t>RESOLUTION NO._____</w:t>
      </w:r>
    </w:p>
    <w:p w14:paraId="7BAC08FD" w14:textId="77777777" w:rsidR="000E773A" w:rsidRDefault="000E773A">
      <w:pPr>
        <w:tabs>
          <w:tab w:val="right" w:pos="6480"/>
        </w:tabs>
        <w:jc w:val="center"/>
      </w:pPr>
      <w:r>
        <w:t>CITY OF RIVER CITY</w:t>
      </w:r>
    </w:p>
    <w:p w14:paraId="11E1C261" w14:textId="77777777" w:rsidR="000E773A" w:rsidRDefault="000E773A">
      <w:pPr>
        <w:tabs>
          <w:tab w:val="right" w:pos="6480"/>
        </w:tabs>
      </w:pPr>
    </w:p>
    <w:p w14:paraId="1CEACF71" w14:textId="77777777" w:rsidR="000E773A" w:rsidRDefault="000E773A">
      <w:pPr>
        <w:pStyle w:val="Heading1"/>
        <w:ind w:left="1080" w:hanging="1080"/>
        <w:rPr>
          <w:rFonts w:ascii="Times New Roman" w:hAnsi="Times New Roman"/>
        </w:rPr>
      </w:pPr>
      <w:r>
        <w:rPr>
          <w:rFonts w:ascii="Times New Roman" w:hAnsi="Times New Roman"/>
        </w:rPr>
        <w:t>TITLE:</w:t>
      </w:r>
      <w:r>
        <w:rPr>
          <w:rFonts w:ascii="Times New Roman" w:hAnsi="Times New Roman"/>
        </w:rPr>
        <w:tab/>
        <w:t>LAND USE PUBLIC HEARING PROCEDURES</w:t>
      </w:r>
    </w:p>
    <w:p w14:paraId="7724F179" w14:textId="77777777" w:rsidR="000E773A" w:rsidRDefault="000E773A">
      <w:pPr>
        <w:ind w:left="2160" w:hanging="2160"/>
      </w:pPr>
    </w:p>
    <w:p w14:paraId="5F509D7A" w14:textId="77777777" w:rsidR="000E773A" w:rsidRDefault="000E773A">
      <w:pPr>
        <w:tabs>
          <w:tab w:val="right" w:pos="6480"/>
        </w:tabs>
        <w:ind w:left="2160" w:hanging="2160"/>
      </w:pPr>
      <w:r>
        <w:t>WHEREAS:</w:t>
      </w:r>
      <w:r>
        <w:tab/>
        <w:t>Idaho Code §67-6534 requires that cities maintain a regular set of procedures for public hearings held by the City of River City Planning and Zoning Commission and City Council in matters governed by the Local Land Use Planning Act; and</w:t>
      </w:r>
    </w:p>
    <w:p w14:paraId="32B6282A" w14:textId="77777777" w:rsidR="000E773A" w:rsidRDefault="000E773A">
      <w:pPr>
        <w:tabs>
          <w:tab w:val="right" w:pos="6480"/>
        </w:tabs>
        <w:ind w:left="2160" w:hanging="2160"/>
      </w:pPr>
    </w:p>
    <w:p w14:paraId="112F9ABE" w14:textId="77777777" w:rsidR="000E773A" w:rsidRDefault="000E773A">
      <w:pPr>
        <w:tabs>
          <w:tab w:val="right" w:pos="6480"/>
        </w:tabs>
        <w:ind w:left="2160" w:hanging="2160"/>
      </w:pPr>
      <w:r>
        <w:t>WHEREAS:</w:t>
      </w:r>
      <w:r>
        <w:tab/>
        <w:t xml:space="preserve">From time to time it is beneficial to review and revise those hearing procedures to better facilitate input from the public and to promote a thorough and expeditious hearing;  </w:t>
      </w:r>
    </w:p>
    <w:p w14:paraId="6A502970" w14:textId="77777777" w:rsidR="000E773A" w:rsidRDefault="000E773A">
      <w:pPr>
        <w:tabs>
          <w:tab w:val="right" w:pos="6480"/>
        </w:tabs>
      </w:pPr>
    </w:p>
    <w:p w14:paraId="2052934B" w14:textId="77777777" w:rsidR="000E773A" w:rsidRDefault="000E773A">
      <w:pPr>
        <w:ind w:left="2160" w:hanging="2160"/>
      </w:pPr>
      <w:r>
        <w:t>NOW, THEREFORE, BE IT RESOLVED by the Mayor and City Council that the City of River City hereby adopts the following procedures to be applied in matters concerning land use-related public hearings:</w:t>
      </w:r>
    </w:p>
    <w:p w14:paraId="1AE9636A" w14:textId="77777777" w:rsidR="000E773A" w:rsidRDefault="000E773A">
      <w:pPr>
        <w:ind w:left="2160" w:hanging="2160"/>
        <w:rPr>
          <w:b/>
        </w:rPr>
      </w:pPr>
    </w:p>
    <w:p w14:paraId="069791B5" w14:textId="77777777" w:rsidR="000E773A" w:rsidRPr="00A20007" w:rsidRDefault="000E773A">
      <w:pPr>
        <w:pStyle w:val="level10"/>
        <w:rPr>
          <w:rFonts w:ascii="Times New Roman" w:hAnsi="Times New Roman"/>
          <w:b/>
          <w:u w:val="single"/>
        </w:rPr>
      </w:pPr>
      <w:r w:rsidRPr="00A20007">
        <w:rPr>
          <w:rFonts w:ascii="Times New Roman" w:hAnsi="Times New Roman"/>
          <w:b/>
        </w:rPr>
        <w:t>Section 1. Public Notice</w:t>
      </w:r>
    </w:p>
    <w:p w14:paraId="7FBD8911" w14:textId="77777777" w:rsidR="000E773A" w:rsidRDefault="000E773A">
      <w:pPr>
        <w:pStyle w:val="level10"/>
        <w:ind w:left="720"/>
        <w:rPr>
          <w:rFonts w:ascii="Times New Roman" w:hAnsi="Times New Roman"/>
          <w:u w:val="single"/>
        </w:rPr>
      </w:pPr>
      <w:r>
        <w:rPr>
          <w:rFonts w:ascii="Times New Roman" w:hAnsi="Times New Roman"/>
        </w:rPr>
        <w:t>a.</w:t>
      </w:r>
      <w:r>
        <w:rPr>
          <w:rFonts w:ascii="Times New Roman" w:hAnsi="Times New Roman"/>
        </w:rPr>
        <w:tab/>
        <w:t>If a public hearing is required by law or ordinance, the planning commission and, when applicable, the city council shall hold at least one public hearing in which interested persons shall have an opportunity to be heard. At least fifteen (15) days prior to the hearing, notice of the time and place and a summary of the proposal shall be published in the city’s official newspaper.  Notice of public hearing should only be published when an application is complete in a manner sufficient to address the requirements established by ordinance and application forms.</w:t>
      </w:r>
    </w:p>
    <w:p w14:paraId="254059D9" w14:textId="77777777" w:rsidR="000E773A" w:rsidRDefault="000E773A">
      <w:pPr>
        <w:pStyle w:val="level2"/>
        <w:ind w:left="720" w:hanging="360"/>
        <w:rPr>
          <w:rFonts w:ascii="Times New Roman" w:hAnsi="Times New Roman"/>
        </w:rPr>
      </w:pPr>
      <w:r>
        <w:rPr>
          <w:rFonts w:ascii="Times New Roman" w:hAnsi="Times New Roman"/>
        </w:rPr>
        <w:t xml:space="preserve">b.   In the case of annexations, conditional use permits, site-specific rezones, subdivisions, and variances, notice shall also be provided to property owners within the land being considered; those record owners of lands within three hundred feet (300') of the external boundaries of the land being considered; and, optionally, within any additional areas that may be substantially impacted by the proposal as determined by the planning and zoning commission or by decision of the community development department staff.  Contents of the mailed notice must contain the information required by law and when practical should include information guided by this Resolution such as requirements of testimony, default time limits (or issue-specific time limits, if known), timing for allowing written submissions, and other significant conditions or restrictions on testifying. </w:t>
      </w:r>
    </w:p>
    <w:p w14:paraId="30C3994C" w14:textId="77777777" w:rsidR="000E773A" w:rsidRDefault="000E773A">
      <w:pPr>
        <w:pStyle w:val="level2"/>
        <w:ind w:left="720" w:hanging="360"/>
        <w:rPr>
          <w:rFonts w:ascii="Times New Roman" w:hAnsi="Times New Roman"/>
        </w:rPr>
      </w:pPr>
      <w:r>
        <w:rPr>
          <w:rFonts w:ascii="Times New Roman" w:hAnsi="Times New Roman"/>
        </w:rPr>
        <w:t xml:space="preserve">c.  When mailed notices would be required to be sent to two hundred (200) or more property owners, a notice of public hearing, at least 2” x 4” in size, published in the city’s official newspaper at least 15 days prior to the hearing, shall be considered adequate in lieu of otherwise required mailed notices. </w:t>
      </w:r>
    </w:p>
    <w:p w14:paraId="5ADCCCAD" w14:textId="77777777" w:rsidR="000E773A" w:rsidRDefault="000E773A">
      <w:pPr>
        <w:pStyle w:val="level2"/>
        <w:ind w:left="720" w:hanging="360"/>
        <w:rPr>
          <w:rFonts w:ascii="Times New Roman" w:hAnsi="Times New Roman"/>
        </w:rPr>
      </w:pPr>
      <w:r>
        <w:rPr>
          <w:rFonts w:ascii="Times New Roman" w:hAnsi="Times New Roman"/>
        </w:rPr>
        <w:lastRenderedPageBreak/>
        <w:t>d.  For site-specific matters, the subject property should be posted with signs describing the type of action to be considered, contact information for the Community Development Department, and the time, date and location of the hearing.  Such signage shall be posted on the site as required by law.</w:t>
      </w:r>
    </w:p>
    <w:p w14:paraId="63A50168" w14:textId="77777777" w:rsidR="000E773A" w:rsidRPr="009D266D" w:rsidRDefault="000E773A">
      <w:pPr>
        <w:pStyle w:val="level2"/>
        <w:rPr>
          <w:rFonts w:ascii="Times New Roman" w:hAnsi="Times New Roman"/>
          <w:b/>
        </w:rPr>
      </w:pPr>
      <w:r w:rsidRPr="009D266D">
        <w:rPr>
          <w:rFonts w:ascii="Times New Roman" w:hAnsi="Times New Roman"/>
          <w:b/>
        </w:rPr>
        <w:t>Section 2.  General Rules for Testimony in a Quasi-judicial or Annexation-related Public Hearing:</w:t>
      </w:r>
    </w:p>
    <w:p w14:paraId="4C33D696" w14:textId="77777777" w:rsidR="000E773A" w:rsidRDefault="000E773A">
      <w:pPr>
        <w:pStyle w:val="level2"/>
        <w:ind w:left="720"/>
        <w:rPr>
          <w:rFonts w:ascii="Times New Roman" w:hAnsi="Times New Roman"/>
        </w:rPr>
      </w:pPr>
      <w:r>
        <w:rPr>
          <w:rFonts w:ascii="Times New Roman" w:hAnsi="Times New Roman"/>
        </w:rPr>
        <w:t xml:space="preserve">a. At the commencement of the public hearing, the Commission/Council, or the Chairman/Mayor may establish a time limit to be observed by all speakers. This resolution provides the default time limits as follows:  Applicant (to describe application and reasons that it meets requirements) – not to exceed fifteen (15) minutes. Staff explanation – not to exceed fifteen (15) minutes.  Individual testimony – pro, neutral and con – three (3) minutes per person (up to fifteen (15) minutes for spokesman in cases where spokesmen are pre-authorized by the chairman).  Rebuttal by the applicant (no new evidence – only information from the record to rebut assertions by contrary testimony) – as needed. </w:t>
      </w:r>
    </w:p>
    <w:p w14:paraId="7BBC103B" w14:textId="77777777" w:rsidR="000E773A" w:rsidRDefault="000E773A">
      <w:pPr>
        <w:pStyle w:val="level2"/>
        <w:ind w:left="720"/>
        <w:rPr>
          <w:rFonts w:ascii="Times New Roman" w:hAnsi="Times New Roman"/>
        </w:rPr>
      </w:pPr>
      <w:r>
        <w:rPr>
          <w:rFonts w:ascii="Times New Roman" w:hAnsi="Times New Roman"/>
        </w:rPr>
        <w:t>b. No person shall be permitted to testify or speak before the hearing agency at a public hearing unless such person has signed his name and written his contact address on sign-up sheets to be provided by the city. This requirement shall not apply to staff or technical witnesses directed by the chairperson to give evidence or information to the hearing agency.</w:t>
      </w:r>
    </w:p>
    <w:p w14:paraId="78C79C2B" w14:textId="77777777" w:rsidR="000E773A" w:rsidRDefault="000E773A" w:rsidP="00245DD7">
      <w:pPr>
        <w:pStyle w:val="level2"/>
        <w:ind w:left="720"/>
        <w:rPr>
          <w:rFonts w:ascii="Times New Roman" w:hAnsi="Times New Roman"/>
        </w:rPr>
      </w:pPr>
      <w:r>
        <w:rPr>
          <w:rFonts w:ascii="Times New Roman" w:hAnsi="Times New Roman"/>
        </w:rPr>
        <w:t xml:space="preserve">c. The presiding officer, or the council/commission, is authorized to revise the default time frames and order of proceedings so long as due process rights are maintained.  In the event of disagreement by governing board members with procedural rulings by the chairman, the governing board may suspend or amend any one or more of these rules by majority vote of members of the governing board then in attendance, provided that due process rights are preserved. </w:t>
      </w:r>
    </w:p>
    <w:p w14:paraId="1CBF1DD3" w14:textId="77777777" w:rsidR="000E773A" w:rsidRDefault="000E773A">
      <w:pPr>
        <w:pStyle w:val="level3"/>
        <w:ind w:left="720"/>
        <w:rPr>
          <w:rFonts w:ascii="Times New Roman" w:hAnsi="Times New Roman"/>
        </w:rPr>
      </w:pPr>
      <w:r>
        <w:rPr>
          <w:rFonts w:ascii="Times New Roman" w:hAnsi="Times New Roman"/>
        </w:rPr>
        <w:t>d. Anyone who intends to appear as a representative of a group at a hearing where spokesmen will be allowed should contact the Community Development Department at least five days prior to the hearing.  Staff may then apprise the representative of procedures for the hearing and any special limits or allowances concerning testimony.</w:t>
      </w:r>
    </w:p>
    <w:p w14:paraId="6AE7F966" w14:textId="77777777" w:rsidR="000E773A" w:rsidRDefault="000E773A">
      <w:pPr>
        <w:pStyle w:val="level3"/>
        <w:ind w:left="720"/>
        <w:rPr>
          <w:rFonts w:ascii="Times New Roman" w:hAnsi="Times New Roman"/>
        </w:rPr>
      </w:pPr>
      <w:r>
        <w:rPr>
          <w:rFonts w:ascii="Times New Roman" w:hAnsi="Times New Roman"/>
        </w:rPr>
        <w:t xml:space="preserve">e. No person shall be permitted to speak before the council/commission at a public hearing until such person is recognized by the chairperson. </w:t>
      </w:r>
    </w:p>
    <w:p w14:paraId="60579E69" w14:textId="77777777" w:rsidR="000E773A" w:rsidRDefault="000E773A">
      <w:pPr>
        <w:pStyle w:val="level3"/>
        <w:ind w:firstLine="120"/>
        <w:rPr>
          <w:rFonts w:ascii="Times New Roman" w:hAnsi="Times New Roman"/>
        </w:rPr>
      </w:pPr>
      <w:r>
        <w:rPr>
          <w:rFonts w:ascii="Times New Roman" w:hAnsi="Times New Roman"/>
        </w:rPr>
        <w:t xml:space="preserve">f. Testimony should directly address the subject at hand. </w:t>
      </w:r>
    </w:p>
    <w:p w14:paraId="1C6512C4" w14:textId="77777777" w:rsidR="000E773A" w:rsidRDefault="000E773A">
      <w:pPr>
        <w:pStyle w:val="level3"/>
        <w:ind w:firstLine="120"/>
        <w:rPr>
          <w:rFonts w:ascii="Times New Roman" w:hAnsi="Times New Roman"/>
        </w:rPr>
      </w:pPr>
      <w:r>
        <w:rPr>
          <w:rFonts w:ascii="Times New Roman" w:hAnsi="Times New Roman"/>
        </w:rPr>
        <w:t xml:space="preserve">g. Testimony should not be repetitious with other entries into the record. </w:t>
      </w:r>
    </w:p>
    <w:p w14:paraId="6C8D9CE7" w14:textId="77777777" w:rsidR="000E773A" w:rsidRDefault="000E773A">
      <w:pPr>
        <w:pStyle w:val="level3"/>
        <w:ind w:firstLine="120"/>
        <w:rPr>
          <w:rFonts w:ascii="Times New Roman" w:hAnsi="Times New Roman"/>
        </w:rPr>
      </w:pPr>
      <w:r>
        <w:rPr>
          <w:rFonts w:ascii="Times New Roman" w:hAnsi="Times New Roman"/>
        </w:rPr>
        <w:t xml:space="preserve">h. Testimony should not be personally derogatory. </w:t>
      </w:r>
    </w:p>
    <w:p w14:paraId="0FC93080" w14:textId="77777777" w:rsidR="000E773A" w:rsidRDefault="000E773A">
      <w:pPr>
        <w:pStyle w:val="level3"/>
        <w:ind w:firstLine="120"/>
        <w:rPr>
          <w:rFonts w:ascii="Times New Roman" w:hAnsi="Times New Roman"/>
        </w:rPr>
      </w:pPr>
      <w:r>
        <w:rPr>
          <w:rFonts w:ascii="Times New Roman" w:hAnsi="Times New Roman"/>
        </w:rPr>
        <w:t xml:space="preserve">i. Testimony should comply with time restrictions established by the hearing agency. </w:t>
      </w:r>
    </w:p>
    <w:p w14:paraId="3456453D" w14:textId="77777777" w:rsidR="000E773A" w:rsidRDefault="000E773A">
      <w:pPr>
        <w:pStyle w:val="level3"/>
        <w:tabs>
          <w:tab w:val="left" w:pos="720"/>
        </w:tabs>
        <w:ind w:left="720"/>
        <w:rPr>
          <w:rFonts w:ascii="Times New Roman" w:hAnsi="Times New Roman"/>
        </w:rPr>
      </w:pPr>
      <w:r>
        <w:rPr>
          <w:rFonts w:ascii="Times New Roman" w:hAnsi="Times New Roman"/>
        </w:rPr>
        <w:lastRenderedPageBreak/>
        <w:t xml:space="preserve">j. If oral testimony fails to comply with the aforementioned standards, the chairperson may declare such testimony out of order and require it to cease. </w:t>
      </w:r>
    </w:p>
    <w:p w14:paraId="6CAB0B7A" w14:textId="77777777" w:rsidR="000E773A" w:rsidRDefault="000E773A">
      <w:pPr>
        <w:pStyle w:val="level3"/>
        <w:ind w:left="720"/>
        <w:rPr>
          <w:rFonts w:ascii="Times New Roman" w:hAnsi="Times New Roman"/>
        </w:rPr>
      </w:pPr>
      <w:r>
        <w:rPr>
          <w:rFonts w:ascii="Times New Roman" w:hAnsi="Times New Roman"/>
        </w:rPr>
        <w:t xml:space="preserve">k. All public hearing proceedings shall be recorded electronically or stenographically and all persons speaking at such public hearings shall speak before a microphone in such a manner as will assure that the recorded testimony or remarks will be complete. </w:t>
      </w:r>
    </w:p>
    <w:p w14:paraId="78E42ABF" w14:textId="77777777" w:rsidR="000E773A" w:rsidRPr="009D266D" w:rsidRDefault="000E773A">
      <w:pPr>
        <w:pStyle w:val="level3"/>
        <w:ind w:left="360"/>
        <w:rPr>
          <w:rFonts w:ascii="Times New Roman" w:hAnsi="Times New Roman"/>
          <w:b/>
        </w:rPr>
      </w:pPr>
      <w:r w:rsidRPr="009D266D">
        <w:rPr>
          <w:rFonts w:ascii="Times New Roman" w:hAnsi="Times New Roman"/>
          <w:b/>
        </w:rPr>
        <w:t xml:space="preserve">Section 3. Order for Quasi-Judicial Public Hearing:  </w:t>
      </w:r>
    </w:p>
    <w:p w14:paraId="6448E316" w14:textId="77777777" w:rsidR="000E773A" w:rsidRDefault="000E773A">
      <w:pPr>
        <w:pStyle w:val="level3"/>
        <w:ind w:left="360"/>
        <w:rPr>
          <w:rFonts w:ascii="Times New Roman" w:hAnsi="Times New Roman"/>
        </w:rPr>
      </w:pPr>
      <w:r>
        <w:rPr>
          <w:rFonts w:ascii="Times New Roman" w:hAnsi="Times New Roman"/>
        </w:rPr>
        <w:t xml:space="preserve">Quasi-judicial hearings involve site-specific decisions (such as rezoning specific property) as opposed to legislative hearings which require decisions that have a broad application (such as a change in the text of a zoning or subdivision ordinance, which does not necessarily affect one specific parcel of land).  Quasi-judicial Public hearings should follow the order of events set forth below: </w:t>
      </w:r>
    </w:p>
    <w:p w14:paraId="5B3CAD04" w14:textId="77777777" w:rsidR="000E773A" w:rsidRDefault="000E773A" w:rsidP="00EE6881">
      <w:pPr>
        <w:pStyle w:val="level2"/>
        <w:numPr>
          <w:ilvl w:val="0"/>
          <w:numId w:val="9"/>
        </w:numPr>
        <w:rPr>
          <w:rFonts w:ascii="Times New Roman" w:hAnsi="Times New Roman"/>
        </w:rPr>
      </w:pPr>
      <w:r>
        <w:rPr>
          <w:rFonts w:ascii="Times New Roman" w:hAnsi="Times New Roman"/>
        </w:rPr>
        <w:t>Brief introduction of the subject of the hearing by city staff.</w:t>
      </w:r>
    </w:p>
    <w:p w14:paraId="41C64D1E" w14:textId="77777777" w:rsidR="000E773A" w:rsidRDefault="000E773A" w:rsidP="0033586B">
      <w:pPr>
        <w:pStyle w:val="level3"/>
        <w:numPr>
          <w:ilvl w:val="0"/>
          <w:numId w:val="9"/>
        </w:numPr>
        <w:rPr>
          <w:rFonts w:ascii="Times New Roman" w:hAnsi="Times New Roman"/>
        </w:rPr>
      </w:pPr>
      <w:r>
        <w:rPr>
          <w:rFonts w:ascii="Times New Roman" w:hAnsi="Times New Roman"/>
        </w:rPr>
        <w:t>Presentation by applicant. (Decision makers should address their questions to the applicant at this time.)</w:t>
      </w:r>
    </w:p>
    <w:p w14:paraId="6F89497E" w14:textId="77777777" w:rsidR="000E773A" w:rsidRDefault="000E773A" w:rsidP="009C2D62">
      <w:pPr>
        <w:pStyle w:val="level3"/>
        <w:numPr>
          <w:ilvl w:val="0"/>
          <w:numId w:val="9"/>
        </w:numPr>
        <w:rPr>
          <w:rFonts w:ascii="Times New Roman" w:hAnsi="Times New Roman"/>
        </w:rPr>
      </w:pPr>
      <w:r>
        <w:rPr>
          <w:rFonts w:ascii="Times New Roman" w:hAnsi="Times New Roman"/>
        </w:rPr>
        <w:t>City staff report.  (Decision makers should address their initial questions to staff at this time.)</w:t>
      </w:r>
    </w:p>
    <w:p w14:paraId="00D55F90" w14:textId="77777777" w:rsidR="000E773A" w:rsidRDefault="000E773A" w:rsidP="009C2D62">
      <w:pPr>
        <w:pStyle w:val="level3"/>
        <w:numPr>
          <w:ilvl w:val="0"/>
          <w:numId w:val="9"/>
        </w:numPr>
        <w:rPr>
          <w:rFonts w:ascii="Times New Roman" w:hAnsi="Times New Roman"/>
        </w:rPr>
      </w:pPr>
      <w:r>
        <w:rPr>
          <w:rFonts w:ascii="Times New Roman" w:hAnsi="Times New Roman"/>
        </w:rPr>
        <w:t>Open Public Hearing: Testimony from public in the following order:  (Questions from the decision makers should be asked of the person testifying before they leave the podium whenever possible.)</w:t>
      </w:r>
    </w:p>
    <w:p w14:paraId="14BFC34C" w14:textId="77777777" w:rsidR="000E773A" w:rsidRDefault="000E773A" w:rsidP="009C2D62">
      <w:pPr>
        <w:pStyle w:val="level3"/>
        <w:numPr>
          <w:ilvl w:val="0"/>
          <w:numId w:val="7"/>
        </w:numPr>
        <w:ind w:left="1800"/>
        <w:rPr>
          <w:rFonts w:ascii="Times New Roman" w:hAnsi="Times New Roman"/>
          <w:u w:val="single"/>
        </w:rPr>
      </w:pPr>
      <w:r>
        <w:rPr>
          <w:rFonts w:ascii="Times New Roman" w:hAnsi="Times New Roman"/>
          <w:u w:val="single"/>
        </w:rPr>
        <w:t>In favor of proposal</w:t>
      </w:r>
    </w:p>
    <w:p w14:paraId="1BB405FE" w14:textId="77777777" w:rsidR="000E773A" w:rsidRDefault="000E773A" w:rsidP="009C2D62">
      <w:pPr>
        <w:pStyle w:val="level3"/>
        <w:numPr>
          <w:ilvl w:val="0"/>
          <w:numId w:val="7"/>
        </w:numPr>
        <w:ind w:left="1800"/>
        <w:rPr>
          <w:rFonts w:ascii="Times New Roman" w:hAnsi="Times New Roman"/>
          <w:u w:val="single"/>
        </w:rPr>
      </w:pPr>
      <w:r>
        <w:rPr>
          <w:rFonts w:ascii="Times New Roman" w:hAnsi="Times New Roman"/>
          <w:u w:val="single"/>
        </w:rPr>
        <w:t>Neutral respecting proposal</w:t>
      </w:r>
    </w:p>
    <w:p w14:paraId="645695E9" w14:textId="77777777" w:rsidR="000E773A" w:rsidRDefault="000E773A" w:rsidP="009C2D62">
      <w:pPr>
        <w:pStyle w:val="level3"/>
        <w:numPr>
          <w:ilvl w:val="0"/>
          <w:numId w:val="7"/>
        </w:numPr>
        <w:ind w:left="1800"/>
        <w:rPr>
          <w:rFonts w:ascii="Times New Roman" w:hAnsi="Times New Roman"/>
        </w:rPr>
      </w:pPr>
      <w:r>
        <w:rPr>
          <w:rFonts w:ascii="Times New Roman" w:hAnsi="Times New Roman"/>
          <w:u w:val="single"/>
        </w:rPr>
        <w:t>Opposed to proposal</w:t>
      </w:r>
    </w:p>
    <w:p w14:paraId="68C1E96A" w14:textId="77777777" w:rsidR="000E773A" w:rsidRDefault="000E773A" w:rsidP="005130D6">
      <w:pPr>
        <w:pStyle w:val="level3"/>
        <w:numPr>
          <w:ilvl w:val="0"/>
          <w:numId w:val="9"/>
        </w:numPr>
        <w:spacing w:before="0" w:beforeAutospacing="0" w:after="120" w:afterAutospacing="0"/>
        <w:rPr>
          <w:rFonts w:ascii="Times New Roman" w:hAnsi="Times New Roman"/>
        </w:rPr>
      </w:pPr>
      <w:r>
        <w:rPr>
          <w:rFonts w:ascii="Times New Roman" w:hAnsi="Times New Roman"/>
        </w:rPr>
        <w:t>Rebuttal testimony from applicant. (Decision makers should ask any final questions.)  If new facts are elicited, the public must be given an opportunity to respond to the new facts.</w:t>
      </w:r>
    </w:p>
    <w:p w14:paraId="722480E4" w14:textId="77777777" w:rsidR="000E773A" w:rsidRDefault="000E773A" w:rsidP="005130D6">
      <w:pPr>
        <w:pStyle w:val="level3"/>
        <w:numPr>
          <w:ilvl w:val="0"/>
          <w:numId w:val="9"/>
        </w:numPr>
        <w:spacing w:before="0" w:beforeAutospacing="0" w:after="120" w:afterAutospacing="0"/>
        <w:rPr>
          <w:rFonts w:ascii="Times New Roman" w:hAnsi="Times New Roman"/>
        </w:rPr>
      </w:pPr>
      <w:r>
        <w:rPr>
          <w:rFonts w:ascii="Times New Roman" w:hAnsi="Times New Roman"/>
        </w:rPr>
        <w:t>Close Public Hearing</w:t>
      </w:r>
    </w:p>
    <w:p w14:paraId="7D718E8E" w14:textId="77777777" w:rsidR="000E773A" w:rsidRDefault="000E773A" w:rsidP="005130D6">
      <w:pPr>
        <w:pStyle w:val="level3"/>
        <w:numPr>
          <w:ilvl w:val="0"/>
          <w:numId w:val="9"/>
        </w:numPr>
        <w:spacing w:before="0" w:beforeAutospacing="0" w:after="120" w:afterAutospacing="0"/>
        <w:rPr>
          <w:rFonts w:ascii="Times New Roman" w:hAnsi="Times New Roman"/>
        </w:rPr>
      </w:pPr>
      <w:r>
        <w:rPr>
          <w:rFonts w:ascii="Times New Roman" w:hAnsi="Times New Roman"/>
        </w:rPr>
        <w:t>Discussion of hearing subject among governing board members. Questions may also be directed to city staff during this period.  Any procedural rules requiring a motion prior to discussion are hereby suspended for purposes of such discussion.  Decision makers may table the matter until later in the meeting if other public hearings are pending or to a later meeting for deliberations.</w:t>
      </w:r>
    </w:p>
    <w:p w14:paraId="0876D4CD" w14:textId="77777777" w:rsidR="000E773A" w:rsidRDefault="000E773A" w:rsidP="0075586D">
      <w:pPr>
        <w:pStyle w:val="level3"/>
        <w:numPr>
          <w:ilvl w:val="0"/>
          <w:numId w:val="9"/>
        </w:numPr>
        <w:spacing w:before="0" w:beforeAutospacing="0" w:after="120" w:afterAutospacing="0"/>
        <w:rPr>
          <w:rFonts w:ascii="Times New Roman" w:hAnsi="Times New Roman"/>
        </w:rPr>
      </w:pPr>
      <w:r w:rsidRPr="0075586D">
        <w:rPr>
          <w:rFonts w:ascii="Times New Roman" w:hAnsi="Times New Roman"/>
        </w:rPr>
        <w:t xml:space="preserve">The final decision </w:t>
      </w:r>
      <w:r>
        <w:rPr>
          <w:rFonts w:ascii="Times New Roman" w:hAnsi="Times New Roman"/>
        </w:rPr>
        <w:t>should</w:t>
      </w:r>
      <w:r w:rsidRPr="0075586D">
        <w:rPr>
          <w:rFonts w:ascii="Times New Roman" w:hAnsi="Times New Roman"/>
        </w:rPr>
        <w:t xml:space="preserve"> include a reasoned statement that explains the criteria and standards considered relevant, states the relevant contested facts relied upon, and explains the rationale for the decision based on the applicable provisions of the comprehensive plan</w:t>
      </w:r>
      <w:r>
        <w:rPr>
          <w:rFonts w:ascii="Times New Roman" w:hAnsi="Times New Roman"/>
        </w:rPr>
        <w:t xml:space="preserve"> for rezoning requests</w:t>
      </w:r>
      <w:r w:rsidRPr="0075586D">
        <w:rPr>
          <w:rFonts w:ascii="Times New Roman" w:hAnsi="Times New Roman"/>
        </w:rPr>
        <w:t>, relevant ordinance and statutory provisions</w:t>
      </w:r>
      <w:r>
        <w:rPr>
          <w:rFonts w:ascii="Times New Roman" w:hAnsi="Times New Roman"/>
        </w:rPr>
        <w:t xml:space="preserve"> for other requests</w:t>
      </w:r>
      <w:r w:rsidRPr="0075586D">
        <w:rPr>
          <w:rFonts w:ascii="Times New Roman" w:hAnsi="Times New Roman"/>
        </w:rPr>
        <w:t>, pertinent constitutional principles and factual information contained in the record.</w:t>
      </w:r>
    </w:p>
    <w:p w14:paraId="51CE6FA6" w14:textId="77777777" w:rsidR="000E773A" w:rsidRDefault="000E773A" w:rsidP="00D04212">
      <w:pPr>
        <w:pStyle w:val="level3"/>
        <w:spacing w:before="0" w:beforeAutospacing="0" w:after="120" w:afterAutospacing="0"/>
        <w:ind w:left="720"/>
        <w:rPr>
          <w:rFonts w:ascii="Times New Roman" w:hAnsi="Times New Roman"/>
          <w:b/>
        </w:rPr>
      </w:pPr>
    </w:p>
    <w:p w14:paraId="779E0F77" w14:textId="77777777" w:rsidR="000E773A" w:rsidRPr="00D04212" w:rsidRDefault="000E773A" w:rsidP="00D04212">
      <w:pPr>
        <w:pStyle w:val="level3"/>
        <w:spacing w:before="0" w:beforeAutospacing="0" w:after="120" w:afterAutospacing="0"/>
        <w:ind w:left="720"/>
        <w:rPr>
          <w:rFonts w:ascii="Times New Roman" w:hAnsi="Times New Roman"/>
          <w:b/>
        </w:rPr>
      </w:pPr>
      <w:r w:rsidRPr="00D04212">
        <w:rPr>
          <w:rFonts w:ascii="Times New Roman" w:hAnsi="Times New Roman"/>
          <w:b/>
        </w:rPr>
        <w:lastRenderedPageBreak/>
        <w:t xml:space="preserve">Section 4. Standards for Written Testimony: </w:t>
      </w:r>
    </w:p>
    <w:p w14:paraId="05C4321C" w14:textId="77777777" w:rsidR="000E773A" w:rsidRDefault="000E773A" w:rsidP="00D04212">
      <w:pPr>
        <w:pStyle w:val="level3"/>
        <w:spacing w:before="0" w:beforeAutospacing="0" w:after="120" w:afterAutospacing="0"/>
        <w:ind w:left="720"/>
        <w:rPr>
          <w:rFonts w:ascii="Times New Roman" w:hAnsi="Times New Roman"/>
        </w:rPr>
      </w:pPr>
      <w:r w:rsidRPr="0075586D">
        <w:rPr>
          <w:rFonts w:ascii="Times New Roman" w:hAnsi="Times New Roman"/>
        </w:rPr>
        <w:t xml:space="preserve">Written testimony and exhibits from the public to be admitted at a public hearing shall comply with the following standards: </w:t>
      </w:r>
    </w:p>
    <w:p w14:paraId="52C3029C" w14:textId="77777777" w:rsidR="000E773A" w:rsidRDefault="000E773A">
      <w:pPr>
        <w:pStyle w:val="level3"/>
        <w:ind w:left="720"/>
        <w:rPr>
          <w:rFonts w:ascii="Times New Roman" w:hAnsi="Times New Roman"/>
        </w:rPr>
      </w:pPr>
      <w:r>
        <w:rPr>
          <w:rFonts w:ascii="Times New Roman" w:hAnsi="Times New Roman"/>
        </w:rPr>
        <w:t>a. Written testimony and exhibits must be submitted at least six (6) calendar days prior to the date of the pertinent public hearing. This provision may be varied through notice to potential hearing participants.</w:t>
      </w:r>
    </w:p>
    <w:p w14:paraId="1E47FB7B" w14:textId="77777777" w:rsidR="000E773A" w:rsidRDefault="000E773A">
      <w:pPr>
        <w:pStyle w:val="level3"/>
        <w:ind w:firstLine="120"/>
        <w:rPr>
          <w:rFonts w:ascii="Times New Roman" w:hAnsi="Times New Roman"/>
        </w:rPr>
      </w:pPr>
      <w:r>
        <w:rPr>
          <w:rFonts w:ascii="Times New Roman" w:hAnsi="Times New Roman"/>
        </w:rPr>
        <w:t xml:space="preserve">b. Written testimony should include the signature and address of the submitter. </w:t>
      </w:r>
    </w:p>
    <w:p w14:paraId="4A876B3C" w14:textId="77777777" w:rsidR="000E773A" w:rsidRDefault="000E773A">
      <w:pPr>
        <w:pStyle w:val="level3"/>
        <w:ind w:firstLine="120"/>
        <w:rPr>
          <w:rFonts w:ascii="Times New Roman" w:hAnsi="Times New Roman"/>
        </w:rPr>
      </w:pPr>
      <w:r>
        <w:rPr>
          <w:rFonts w:ascii="Times New Roman" w:hAnsi="Times New Roman"/>
        </w:rPr>
        <w:t xml:space="preserve">c. Written testimony should address the issue at hand. </w:t>
      </w:r>
    </w:p>
    <w:p w14:paraId="4829B690" w14:textId="77777777" w:rsidR="000E773A" w:rsidRDefault="000E773A">
      <w:pPr>
        <w:pStyle w:val="level3"/>
        <w:ind w:firstLine="120"/>
        <w:rPr>
          <w:rFonts w:ascii="Times New Roman" w:hAnsi="Times New Roman"/>
        </w:rPr>
      </w:pPr>
      <w:r>
        <w:rPr>
          <w:rFonts w:ascii="Times New Roman" w:hAnsi="Times New Roman"/>
        </w:rPr>
        <w:t xml:space="preserve">d. Written testimony should not be personally derogatory. </w:t>
      </w:r>
    </w:p>
    <w:p w14:paraId="034D7D05" w14:textId="77777777" w:rsidR="000E773A" w:rsidRDefault="000E773A">
      <w:pPr>
        <w:pStyle w:val="level2"/>
        <w:ind w:left="720"/>
        <w:rPr>
          <w:rFonts w:ascii="Times New Roman" w:hAnsi="Times New Roman"/>
        </w:rPr>
      </w:pPr>
      <w:r>
        <w:rPr>
          <w:rFonts w:ascii="Times New Roman" w:hAnsi="Times New Roman"/>
        </w:rPr>
        <w:t xml:space="preserve">e. If written testimony or an exhibit fails to comply with the aforementioned standards, the chairperson or council/commission may declare such testimony inadmissible. </w:t>
      </w:r>
    </w:p>
    <w:p w14:paraId="4EC1DFF7" w14:textId="77777777" w:rsidR="000E773A" w:rsidRPr="000013F3" w:rsidRDefault="000E773A">
      <w:pPr>
        <w:pStyle w:val="level2"/>
        <w:rPr>
          <w:rFonts w:ascii="Times New Roman" w:hAnsi="Times New Roman"/>
          <w:b/>
        </w:rPr>
      </w:pPr>
      <w:r w:rsidRPr="000013F3">
        <w:rPr>
          <w:rFonts w:ascii="Times New Roman" w:hAnsi="Times New Roman"/>
          <w:b/>
        </w:rPr>
        <w:t xml:space="preserve">Section 5. Exhibits: </w:t>
      </w:r>
    </w:p>
    <w:p w14:paraId="7EB9D494" w14:textId="77777777" w:rsidR="000E773A" w:rsidRDefault="000E773A">
      <w:pPr>
        <w:pStyle w:val="level2"/>
        <w:rPr>
          <w:rFonts w:ascii="Times New Roman" w:hAnsi="Times New Roman"/>
        </w:rPr>
      </w:pPr>
      <w:r>
        <w:rPr>
          <w:rFonts w:ascii="Times New Roman" w:hAnsi="Times New Roman"/>
        </w:rPr>
        <w:t>All exhibits, photographs, diagrams, maps, evidence and other material presented during the public hearing should be marked or otherwise indentified and entered into the record.  Exhibits from the Applicant must be submitted at least twenty (20) days prior to the hearing and shall be marked or identified prior to publication of any notice of public hearing. Original exhibits may be released to the presenting party if requested in writing, and if acceptable to the Community Development Director and legal counsel.  If original exhibits are released, photocopies or reproducible photos of the originals should be maintained in the record.</w:t>
      </w:r>
    </w:p>
    <w:p w14:paraId="3A1D3E68" w14:textId="77777777" w:rsidR="000E773A" w:rsidRDefault="000E773A">
      <w:pPr>
        <w:pStyle w:val="level2"/>
        <w:rPr>
          <w:rFonts w:ascii="Times New Roman" w:hAnsi="Times New Roman"/>
        </w:rPr>
      </w:pPr>
      <w:r w:rsidRPr="000013F3">
        <w:rPr>
          <w:rFonts w:ascii="Times New Roman" w:hAnsi="Times New Roman"/>
          <w:b/>
        </w:rPr>
        <w:t>Section 6.  Records Maintained:</w:t>
      </w:r>
      <w:r>
        <w:rPr>
          <w:rFonts w:ascii="Times New Roman" w:hAnsi="Times New Roman"/>
        </w:rPr>
        <w:t xml:space="preserve"> </w:t>
      </w:r>
    </w:p>
    <w:p w14:paraId="0EEFF360" w14:textId="77777777" w:rsidR="000E773A" w:rsidRDefault="000E773A">
      <w:pPr>
        <w:pStyle w:val="level2"/>
        <w:rPr>
          <w:rFonts w:ascii="Times New Roman" w:hAnsi="Times New Roman"/>
        </w:rPr>
      </w:pPr>
      <w:r>
        <w:rPr>
          <w:rFonts w:ascii="Times New Roman" w:hAnsi="Times New Roman"/>
        </w:rPr>
        <w:t xml:space="preserve">The City Clerk should maintain records of all public meetings in the following manner: </w:t>
      </w:r>
    </w:p>
    <w:p w14:paraId="26586A51" w14:textId="77777777" w:rsidR="000E773A" w:rsidRDefault="000E773A">
      <w:pPr>
        <w:pStyle w:val="level3"/>
        <w:ind w:left="720"/>
        <w:rPr>
          <w:rFonts w:ascii="Times New Roman" w:hAnsi="Times New Roman"/>
        </w:rPr>
      </w:pPr>
      <w:r>
        <w:rPr>
          <w:rFonts w:ascii="Times New Roman" w:hAnsi="Times New Roman"/>
        </w:rPr>
        <w:t xml:space="preserve">a. Transcribable verbatim recordings of the proceedings should be maintained in conformance with Idaho Code §50-907 or its successor. </w:t>
      </w:r>
    </w:p>
    <w:p w14:paraId="28F360FF" w14:textId="77777777" w:rsidR="000E773A" w:rsidRDefault="000E773A">
      <w:pPr>
        <w:pStyle w:val="level3"/>
        <w:ind w:left="720"/>
        <w:rPr>
          <w:rFonts w:ascii="Times New Roman" w:hAnsi="Times New Roman"/>
        </w:rPr>
      </w:pPr>
      <w:r>
        <w:rPr>
          <w:rFonts w:ascii="Times New Roman" w:hAnsi="Times New Roman"/>
        </w:rPr>
        <w:t xml:space="preserve">b. Originals or accurate duplicates of written submittals to the hearing record and copies of applications should be maintained in conformance with Idaho Code §50-907 or its successor. </w:t>
      </w:r>
    </w:p>
    <w:p w14:paraId="1BDCD9A0" w14:textId="77777777" w:rsidR="000E773A" w:rsidRDefault="000E773A">
      <w:pPr>
        <w:pStyle w:val="level3"/>
        <w:ind w:left="720"/>
        <w:rPr>
          <w:rFonts w:ascii="Times New Roman" w:hAnsi="Times New Roman"/>
        </w:rPr>
      </w:pPr>
      <w:r>
        <w:rPr>
          <w:rFonts w:ascii="Times New Roman" w:hAnsi="Times New Roman"/>
        </w:rPr>
        <w:t xml:space="preserve">c. Minutes which catalog the occurrences at the public hearing shall be maintained as required by applicable sections of the Idaho Code. </w:t>
      </w:r>
    </w:p>
    <w:p w14:paraId="02959171" w14:textId="77777777" w:rsidR="000E773A" w:rsidRDefault="000E773A">
      <w:pPr>
        <w:pStyle w:val="level3"/>
        <w:ind w:left="720"/>
        <w:rPr>
          <w:rFonts w:ascii="Times New Roman" w:hAnsi="Times New Roman"/>
        </w:rPr>
      </w:pPr>
    </w:p>
    <w:p w14:paraId="3EF94603" w14:textId="77777777" w:rsidR="000E773A" w:rsidRDefault="000E773A">
      <w:pPr>
        <w:pStyle w:val="level3"/>
        <w:ind w:left="720"/>
        <w:rPr>
          <w:rFonts w:ascii="Times New Roman" w:hAnsi="Times New Roman"/>
        </w:rPr>
      </w:pPr>
    </w:p>
    <w:p w14:paraId="7BFFB023" w14:textId="77777777" w:rsidR="000E773A" w:rsidRPr="00FA0B0F" w:rsidRDefault="000E773A" w:rsidP="0027462F">
      <w:pPr>
        <w:pStyle w:val="level3"/>
        <w:ind w:left="0"/>
        <w:rPr>
          <w:rFonts w:ascii="Times New Roman" w:hAnsi="Times New Roman"/>
          <w:b/>
        </w:rPr>
      </w:pPr>
      <w:r w:rsidRPr="00FA0B0F">
        <w:rPr>
          <w:rFonts w:ascii="Times New Roman" w:hAnsi="Times New Roman"/>
          <w:b/>
        </w:rPr>
        <w:lastRenderedPageBreak/>
        <w:t xml:space="preserve">      Section 7.  Procedures for Legislative Public Hearings.</w:t>
      </w:r>
    </w:p>
    <w:p w14:paraId="1B1537C3" w14:textId="77777777" w:rsidR="000E773A" w:rsidRDefault="000E773A" w:rsidP="0027462F">
      <w:pPr>
        <w:pStyle w:val="level3"/>
        <w:ind w:left="0"/>
        <w:rPr>
          <w:rFonts w:ascii="Times New Roman" w:hAnsi="Times New Roman"/>
        </w:rPr>
      </w:pPr>
      <w:r>
        <w:rPr>
          <w:rFonts w:ascii="Times New Roman" w:hAnsi="Times New Roman"/>
        </w:rPr>
        <w:t xml:space="preserve">      Public hearings on legislative matters brought pursuant to requirements established by the Local land Use Planning Act should take place after notice has been provided as required by law.  Prior to publishing notice of legislative public hearing a draft of the legislative proposal should be prepared and be available for public inspection no later than the day the notice of public hearing is published.  Procedural limits on duration of testimony may be established by the chairman, subject to approval by the governing board.  Legislative public hearings do not require final decisions in a manner comparable to those for quasi-judicial proceedings.</w:t>
      </w:r>
    </w:p>
    <w:p w14:paraId="1808EFDC" w14:textId="77777777" w:rsidR="000E773A" w:rsidRPr="00A20007" w:rsidRDefault="000E773A">
      <w:pPr>
        <w:autoSpaceDE w:val="0"/>
        <w:autoSpaceDN w:val="0"/>
        <w:adjustRightInd w:val="0"/>
        <w:ind w:firstLine="360"/>
        <w:rPr>
          <w:b/>
        </w:rPr>
      </w:pPr>
      <w:r>
        <w:rPr>
          <w:b/>
        </w:rPr>
        <w:t>T</w:t>
      </w:r>
      <w:r w:rsidRPr="00A20007">
        <w:rPr>
          <w:b/>
        </w:rPr>
        <w:t>his resolution shall be in full force from the date of its adoption</w:t>
      </w:r>
      <w:r>
        <w:rPr>
          <w:b/>
        </w:rPr>
        <w:t xml:space="preserve"> until superseded by a resolution addressing the same subject matter</w:t>
      </w:r>
      <w:r w:rsidRPr="00A20007">
        <w:rPr>
          <w:b/>
        </w:rPr>
        <w:t>.</w:t>
      </w:r>
    </w:p>
    <w:p w14:paraId="29E6915B" w14:textId="77777777" w:rsidR="000E773A" w:rsidRDefault="000E773A">
      <w:pPr>
        <w:pStyle w:val="Footer"/>
        <w:tabs>
          <w:tab w:val="clear" w:pos="4320"/>
          <w:tab w:val="clear" w:pos="8640"/>
        </w:tabs>
      </w:pPr>
    </w:p>
    <w:p w14:paraId="0D632003" w14:textId="77777777" w:rsidR="000E773A" w:rsidRDefault="000E773A">
      <w:pPr>
        <w:ind w:left="2160" w:hanging="2160"/>
      </w:pPr>
      <w:r>
        <w:t>Adopted this ________ day of ____________, 2011.</w:t>
      </w:r>
    </w:p>
    <w:p w14:paraId="2ECFBF4D" w14:textId="77777777" w:rsidR="000E773A" w:rsidRDefault="000E773A">
      <w:pPr>
        <w:ind w:left="2160" w:hanging="2160"/>
      </w:pPr>
    </w:p>
    <w:p w14:paraId="72EAA6E4" w14:textId="77777777" w:rsidR="000E773A" w:rsidRDefault="000E773A">
      <w:pPr>
        <w:ind w:left="2160" w:hanging="2160"/>
      </w:pPr>
    </w:p>
    <w:p w14:paraId="2F116254" w14:textId="77777777" w:rsidR="000E773A" w:rsidRDefault="000E773A">
      <w:pPr>
        <w:tabs>
          <w:tab w:val="left" w:pos="5760"/>
        </w:tabs>
      </w:pPr>
      <w:r>
        <w:tab/>
      </w:r>
      <w:r>
        <w:rPr>
          <w:u w:val="single"/>
        </w:rPr>
        <w:tab/>
      </w:r>
      <w:r>
        <w:rPr>
          <w:u w:val="single"/>
        </w:rPr>
        <w:tab/>
      </w:r>
      <w:r>
        <w:rPr>
          <w:u w:val="single"/>
        </w:rPr>
        <w:tab/>
      </w:r>
      <w:r>
        <w:rPr>
          <w:u w:val="single"/>
        </w:rPr>
        <w:tab/>
      </w:r>
      <w:r>
        <w:rPr>
          <w:u w:val="single"/>
        </w:rPr>
        <w:tab/>
      </w:r>
    </w:p>
    <w:p w14:paraId="48F600C3" w14:textId="77777777" w:rsidR="000E773A" w:rsidRDefault="000E773A">
      <w:pPr>
        <w:tabs>
          <w:tab w:val="left" w:pos="5760"/>
        </w:tabs>
      </w:pPr>
      <w:r>
        <w:tab/>
        <w:t>Mayor</w:t>
      </w:r>
    </w:p>
    <w:p w14:paraId="20882749" w14:textId="77777777" w:rsidR="000E773A" w:rsidRDefault="000E773A"/>
    <w:p w14:paraId="2257EB52" w14:textId="77777777" w:rsidR="000E773A" w:rsidRDefault="000E773A">
      <w:pPr>
        <w:tabs>
          <w:tab w:val="left" w:pos="5760"/>
        </w:tabs>
      </w:pPr>
      <w:r>
        <w:t>ATTEST:</w:t>
      </w:r>
    </w:p>
    <w:p w14:paraId="21EB6D6D" w14:textId="77777777" w:rsidR="000E773A" w:rsidRDefault="000E773A">
      <w:pPr>
        <w:tabs>
          <w:tab w:val="left" w:pos="5760"/>
        </w:tabs>
      </w:pPr>
    </w:p>
    <w:p w14:paraId="5FD1B0C2" w14:textId="77777777" w:rsidR="000E773A" w:rsidRDefault="000E773A">
      <w:pPr>
        <w:tabs>
          <w:tab w:val="left" w:pos="5760"/>
        </w:tabs>
      </w:pPr>
    </w:p>
    <w:p w14:paraId="0A76EB3B" w14:textId="77777777" w:rsidR="000E773A" w:rsidRDefault="000E773A">
      <w:pPr>
        <w:tabs>
          <w:tab w:val="left" w:pos="3600"/>
          <w:tab w:val="left" w:pos="5760"/>
        </w:tabs>
      </w:pPr>
      <w:r>
        <w:rPr>
          <w:u w:val="single"/>
        </w:rPr>
        <w:tab/>
      </w:r>
    </w:p>
    <w:p w14:paraId="0F2AE75D" w14:textId="77777777" w:rsidR="000E773A" w:rsidRDefault="000E773A">
      <w:pPr>
        <w:tabs>
          <w:tab w:val="left" w:pos="3600"/>
          <w:tab w:val="left" w:pos="5760"/>
        </w:tabs>
      </w:pPr>
      <w:r>
        <w:t>City Clerk</w:t>
      </w:r>
    </w:p>
    <w:p w14:paraId="7BFAA5B6" w14:textId="77777777" w:rsidR="000E773A" w:rsidRDefault="000E773A">
      <w:pPr>
        <w:tabs>
          <w:tab w:val="left" w:pos="3600"/>
          <w:tab w:val="left" w:pos="5760"/>
        </w:tabs>
      </w:pPr>
    </w:p>
    <w:p w14:paraId="59B42988" w14:textId="77777777" w:rsidR="000E773A" w:rsidRDefault="000E773A"/>
    <w:sectPr w:rsidR="000E773A" w:rsidSect="00585C62">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4009" w14:textId="77777777" w:rsidR="003C63F7" w:rsidRDefault="003C63F7">
      <w:r>
        <w:separator/>
      </w:r>
    </w:p>
  </w:endnote>
  <w:endnote w:type="continuationSeparator" w:id="0">
    <w:p w14:paraId="70489E4C" w14:textId="77777777" w:rsidR="003C63F7" w:rsidRDefault="003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BEF7" w14:textId="77777777" w:rsidR="000E773A" w:rsidRDefault="000E7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2E718" w14:textId="77777777" w:rsidR="000E773A" w:rsidRDefault="000E7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755E" w14:textId="77777777" w:rsidR="000E773A" w:rsidRDefault="000E773A">
    <w:pPr>
      <w:pStyle w:val="Footer"/>
      <w:ind w:right="360"/>
    </w:pPr>
    <w:r>
      <w:t xml:space="preserve">Hearing Procedures Resolution; page </w:t>
    </w:r>
    <w:r>
      <w:rPr>
        <w:rStyle w:val="PageNumber"/>
      </w:rPr>
      <w:fldChar w:fldCharType="begin"/>
    </w:r>
    <w:r>
      <w:rPr>
        <w:rStyle w:val="PageNumber"/>
      </w:rPr>
      <w:instrText xml:space="preserve"> PAGE </w:instrText>
    </w:r>
    <w:r>
      <w:rPr>
        <w:rStyle w:val="PageNumber"/>
      </w:rPr>
      <w:fldChar w:fldCharType="separate"/>
    </w:r>
    <w:r w:rsidR="00D045F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4A3E" w14:textId="77777777" w:rsidR="003C63F7" w:rsidRDefault="003C63F7">
      <w:r>
        <w:separator/>
      </w:r>
    </w:p>
  </w:footnote>
  <w:footnote w:type="continuationSeparator" w:id="0">
    <w:p w14:paraId="61AEBAC4" w14:textId="77777777" w:rsidR="003C63F7" w:rsidRDefault="003C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0BC6"/>
    <w:multiLevelType w:val="hybridMultilevel"/>
    <w:tmpl w:val="D024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721B7"/>
    <w:multiLevelType w:val="hybridMultilevel"/>
    <w:tmpl w:val="EBC8DB16"/>
    <w:lvl w:ilvl="0" w:tplc="9386F8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9C4029"/>
    <w:multiLevelType w:val="hybridMultilevel"/>
    <w:tmpl w:val="67603924"/>
    <w:lvl w:ilvl="0" w:tplc="A1525DB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E40E23"/>
    <w:multiLevelType w:val="hybridMultilevel"/>
    <w:tmpl w:val="D7DEF566"/>
    <w:lvl w:ilvl="0" w:tplc="4764466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3C23EF7"/>
    <w:multiLevelType w:val="hybridMultilevel"/>
    <w:tmpl w:val="AEB027F2"/>
    <w:lvl w:ilvl="0" w:tplc="4DE6E336">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615"/>
        </w:tabs>
        <w:ind w:left="2615" w:hanging="360"/>
      </w:pPr>
      <w:rPr>
        <w:rFonts w:cs="Times New Roman"/>
      </w:rPr>
    </w:lvl>
    <w:lvl w:ilvl="2" w:tplc="0409001B" w:tentative="1">
      <w:start w:val="1"/>
      <w:numFmt w:val="lowerRoman"/>
      <w:lvlText w:val="%3."/>
      <w:lvlJc w:val="right"/>
      <w:pPr>
        <w:tabs>
          <w:tab w:val="num" w:pos="3335"/>
        </w:tabs>
        <w:ind w:left="3335" w:hanging="180"/>
      </w:pPr>
      <w:rPr>
        <w:rFonts w:cs="Times New Roman"/>
      </w:rPr>
    </w:lvl>
    <w:lvl w:ilvl="3" w:tplc="0409000F" w:tentative="1">
      <w:start w:val="1"/>
      <w:numFmt w:val="decimal"/>
      <w:lvlText w:val="%4."/>
      <w:lvlJc w:val="left"/>
      <w:pPr>
        <w:tabs>
          <w:tab w:val="num" w:pos="4055"/>
        </w:tabs>
        <w:ind w:left="4055" w:hanging="360"/>
      </w:pPr>
      <w:rPr>
        <w:rFonts w:cs="Times New Roman"/>
      </w:rPr>
    </w:lvl>
    <w:lvl w:ilvl="4" w:tplc="04090019" w:tentative="1">
      <w:start w:val="1"/>
      <w:numFmt w:val="lowerLetter"/>
      <w:lvlText w:val="%5."/>
      <w:lvlJc w:val="left"/>
      <w:pPr>
        <w:tabs>
          <w:tab w:val="num" w:pos="4775"/>
        </w:tabs>
        <w:ind w:left="4775" w:hanging="360"/>
      </w:pPr>
      <w:rPr>
        <w:rFonts w:cs="Times New Roman"/>
      </w:rPr>
    </w:lvl>
    <w:lvl w:ilvl="5" w:tplc="0409001B" w:tentative="1">
      <w:start w:val="1"/>
      <w:numFmt w:val="lowerRoman"/>
      <w:lvlText w:val="%6."/>
      <w:lvlJc w:val="right"/>
      <w:pPr>
        <w:tabs>
          <w:tab w:val="num" w:pos="5495"/>
        </w:tabs>
        <w:ind w:left="5495" w:hanging="180"/>
      </w:pPr>
      <w:rPr>
        <w:rFonts w:cs="Times New Roman"/>
      </w:rPr>
    </w:lvl>
    <w:lvl w:ilvl="6" w:tplc="0409000F" w:tentative="1">
      <w:start w:val="1"/>
      <w:numFmt w:val="decimal"/>
      <w:lvlText w:val="%7."/>
      <w:lvlJc w:val="left"/>
      <w:pPr>
        <w:tabs>
          <w:tab w:val="num" w:pos="6215"/>
        </w:tabs>
        <w:ind w:left="6215" w:hanging="360"/>
      </w:pPr>
      <w:rPr>
        <w:rFonts w:cs="Times New Roman"/>
      </w:rPr>
    </w:lvl>
    <w:lvl w:ilvl="7" w:tplc="04090019" w:tentative="1">
      <w:start w:val="1"/>
      <w:numFmt w:val="lowerLetter"/>
      <w:lvlText w:val="%8."/>
      <w:lvlJc w:val="left"/>
      <w:pPr>
        <w:tabs>
          <w:tab w:val="num" w:pos="6935"/>
        </w:tabs>
        <w:ind w:left="6935" w:hanging="360"/>
      </w:pPr>
      <w:rPr>
        <w:rFonts w:cs="Times New Roman"/>
      </w:rPr>
    </w:lvl>
    <w:lvl w:ilvl="8" w:tplc="0409001B" w:tentative="1">
      <w:start w:val="1"/>
      <w:numFmt w:val="lowerRoman"/>
      <w:lvlText w:val="%9."/>
      <w:lvlJc w:val="right"/>
      <w:pPr>
        <w:tabs>
          <w:tab w:val="num" w:pos="7655"/>
        </w:tabs>
        <w:ind w:left="7655" w:hanging="180"/>
      </w:pPr>
      <w:rPr>
        <w:rFonts w:cs="Times New Roman"/>
      </w:rPr>
    </w:lvl>
  </w:abstractNum>
  <w:abstractNum w:abstractNumId="5" w15:restartNumberingAfterBreak="0">
    <w:nsid w:val="4B053E94"/>
    <w:multiLevelType w:val="hybridMultilevel"/>
    <w:tmpl w:val="EA88E49A"/>
    <w:lvl w:ilvl="0" w:tplc="B472321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4B6ECA"/>
    <w:multiLevelType w:val="hybridMultilevel"/>
    <w:tmpl w:val="41C6A660"/>
    <w:lvl w:ilvl="0" w:tplc="04090015">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B73664"/>
    <w:multiLevelType w:val="hybridMultilevel"/>
    <w:tmpl w:val="5E2419B8"/>
    <w:lvl w:ilvl="0" w:tplc="60FAD2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D6A3149"/>
    <w:multiLevelType w:val="multilevel"/>
    <w:tmpl w:val="B224A82C"/>
    <w:lvl w:ilvl="0">
      <w:start w:val="1"/>
      <w:numFmt w:val="decimal"/>
      <w:lvlText w:val="%1."/>
      <w:lvlJc w:val="left"/>
      <w:pPr>
        <w:tabs>
          <w:tab w:val="num" w:pos="2160"/>
        </w:tabs>
        <w:ind w:left="2160" w:hanging="720"/>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num w:numId="1">
    <w:abstractNumId w:val="2"/>
  </w:num>
  <w:num w:numId="2">
    <w:abstractNumId w:val="5"/>
  </w:num>
  <w:num w:numId="3">
    <w:abstractNumId w:val="0"/>
  </w:num>
  <w:num w:numId="4">
    <w:abstractNumId w:val="8"/>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C0"/>
    <w:rsid w:val="000013F3"/>
    <w:rsid w:val="00067D4B"/>
    <w:rsid w:val="000929D2"/>
    <w:rsid w:val="000D0483"/>
    <w:rsid w:val="000E773A"/>
    <w:rsid w:val="00197056"/>
    <w:rsid w:val="001D0A48"/>
    <w:rsid w:val="00232F70"/>
    <w:rsid w:val="00245DD7"/>
    <w:rsid w:val="002470BC"/>
    <w:rsid w:val="0027462F"/>
    <w:rsid w:val="0033586B"/>
    <w:rsid w:val="003A7343"/>
    <w:rsid w:val="003C63F7"/>
    <w:rsid w:val="003F19B0"/>
    <w:rsid w:val="00432CE7"/>
    <w:rsid w:val="00461C43"/>
    <w:rsid w:val="004A4226"/>
    <w:rsid w:val="004A7551"/>
    <w:rsid w:val="005130D6"/>
    <w:rsid w:val="005133FD"/>
    <w:rsid w:val="00514F5F"/>
    <w:rsid w:val="00585C62"/>
    <w:rsid w:val="005D1147"/>
    <w:rsid w:val="00602FFF"/>
    <w:rsid w:val="00665882"/>
    <w:rsid w:val="00673842"/>
    <w:rsid w:val="006B67B5"/>
    <w:rsid w:val="006F38C0"/>
    <w:rsid w:val="006F68EA"/>
    <w:rsid w:val="007220A0"/>
    <w:rsid w:val="007261BA"/>
    <w:rsid w:val="00726E0A"/>
    <w:rsid w:val="0075586D"/>
    <w:rsid w:val="00777D09"/>
    <w:rsid w:val="00782238"/>
    <w:rsid w:val="007D270A"/>
    <w:rsid w:val="007E304B"/>
    <w:rsid w:val="0085524B"/>
    <w:rsid w:val="00871A29"/>
    <w:rsid w:val="008A36EB"/>
    <w:rsid w:val="008D2D5F"/>
    <w:rsid w:val="008F61C9"/>
    <w:rsid w:val="009060D8"/>
    <w:rsid w:val="00912CEC"/>
    <w:rsid w:val="00913157"/>
    <w:rsid w:val="00913E8C"/>
    <w:rsid w:val="00923F66"/>
    <w:rsid w:val="0092627A"/>
    <w:rsid w:val="009740C1"/>
    <w:rsid w:val="00996498"/>
    <w:rsid w:val="009B330A"/>
    <w:rsid w:val="009C2D62"/>
    <w:rsid w:val="009D266D"/>
    <w:rsid w:val="00A20007"/>
    <w:rsid w:val="00A511D4"/>
    <w:rsid w:val="00A81081"/>
    <w:rsid w:val="00AA1732"/>
    <w:rsid w:val="00AD171F"/>
    <w:rsid w:val="00B23EB6"/>
    <w:rsid w:val="00B85DFE"/>
    <w:rsid w:val="00BA0165"/>
    <w:rsid w:val="00BB1270"/>
    <w:rsid w:val="00BE5461"/>
    <w:rsid w:val="00C06D83"/>
    <w:rsid w:val="00C15E14"/>
    <w:rsid w:val="00C43A1B"/>
    <w:rsid w:val="00CB27C9"/>
    <w:rsid w:val="00CD0799"/>
    <w:rsid w:val="00CD4F44"/>
    <w:rsid w:val="00CD7B84"/>
    <w:rsid w:val="00CE0A0C"/>
    <w:rsid w:val="00D04212"/>
    <w:rsid w:val="00D045F8"/>
    <w:rsid w:val="00D3015C"/>
    <w:rsid w:val="00D34092"/>
    <w:rsid w:val="00D3498B"/>
    <w:rsid w:val="00D41F9C"/>
    <w:rsid w:val="00D55196"/>
    <w:rsid w:val="00D75907"/>
    <w:rsid w:val="00DB1F50"/>
    <w:rsid w:val="00DD7707"/>
    <w:rsid w:val="00EA3D9B"/>
    <w:rsid w:val="00EB259B"/>
    <w:rsid w:val="00EE6881"/>
    <w:rsid w:val="00FA0B0F"/>
    <w:rsid w:val="00FA6A64"/>
    <w:rsid w:val="00FB26D0"/>
    <w:rsid w:val="00FF22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B28C3"/>
  <w15:docId w15:val="{DE65A135-DCC9-47E8-9470-9F64CD22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62"/>
    <w:rPr>
      <w:sz w:val="24"/>
      <w:szCs w:val="24"/>
    </w:rPr>
  </w:style>
  <w:style w:type="paragraph" w:styleId="Heading1">
    <w:name w:val="heading 1"/>
    <w:basedOn w:val="Normal"/>
    <w:next w:val="Normal"/>
    <w:link w:val="Heading1Char"/>
    <w:uiPriority w:val="99"/>
    <w:qFormat/>
    <w:rsid w:val="00585C62"/>
    <w:pPr>
      <w:keepNext/>
      <w:tabs>
        <w:tab w:val="right" w:pos="6480"/>
      </w:tabs>
      <w:ind w:left="2160" w:hanging="2160"/>
      <w:outlineLvl w:val="0"/>
    </w:pPr>
    <w:rPr>
      <w:rFonts w:ascii="Arial" w:hAnsi="Arial"/>
      <w:b/>
      <w:bCs/>
    </w:rPr>
  </w:style>
  <w:style w:type="paragraph" w:styleId="Heading2">
    <w:name w:val="heading 2"/>
    <w:basedOn w:val="Normal"/>
    <w:next w:val="Normal"/>
    <w:link w:val="Heading2Char"/>
    <w:uiPriority w:val="99"/>
    <w:qFormat/>
    <w:rsid w:val="00585C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85C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85C62"/>
    <w:pPr>
      <w:keepNext/>
      <w:ind w:right="-180"/>
      <w:jc w:val="center"/>
      <w:outlineLvl w:val="3"/>
    </w:pPr>
    <w:rPr>
      <w:b/>
      <w:bCs/>
    </w:rPr>
  </w:style>
  <w:style w:type="paragraph" w:styleId="Heading5">
    <w:name w:val="heading 5"/>
    <w:basedOn w:val="Normal"/>
    <w:next w:val="Normal"/>
    <w:link w:val="Heading5Char"/>
    <w:uiPriority w:val="99"/>
    <w:qFormat/>
    <w:rsid w:val="00585C62"/>
    <w:pPr>
      <w:keepNext/>
      <w:autoSpaceDE w:val="0"/>
      <w:autoSpaceDN w:val="0"/>
      <w:adjustRightInd w:val="0"/>
      <w:outlineLvl w:val="4"/>
    </w:pPr>
    <w:rPr>
      <w:bCs/>
      <w:u w:val="single"/>
    </w:rPr>
  </w:style>
  <w:style w:type="paragraph" w:styleId="Heading6">
    <w:name w:val="heading 6"/>
    <w:basedOn w:val="Normal"/>
    <w:next w:val="Normal"/>
    <w:link w:val="Heading6Char"/>
    <w:uiPriority w:val="99"/>
    <w:qFormat/>
    <w:rsid w:val="00585C6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787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E787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E7876"/>
    <w:rPr>
      <w:rFonts w:ascii="Cambria" w:eastAsia="Times New Roman" w:hAnsi="Cambria" w:cs="Times New Roman"/>
      <w:b/>
      <w:bCs/>
      <w:sz w:val="26"/>
      <w:szCs w:val="26"/>
    </w:rPr>
  </w:style>
  <w:style w:type="character" w:customStyle="1" w:styleId="Heading4Char">
    <w:name w:val="Heading 4 Char"/>
    <w:link w:val="Heading4"/>
    <w:uiPriority w:val="9"/>
    <w:semiHidden/>
    <w:rsid w:val="004E7876"/>
    <w:rPr>
      <w:rFonts w:ascii="Calibri" w:eastAsia="Times New Roman" w:hAnsi="Calibri" w:cs="Times New Roman"/>
      <w:b/>
      <w:bCs/>
      <w:sz w:val="28"/>
      <w:szCs w:val="28"/>
    </w:rPr>
  </w:style>
  <w:style w:type="character" w:customStyle="1" w:styleId="Heading5Char">
    <w:name w:val="Heading 5 Char"/>
    <w:link w:val="Heading5"/>
    <w:uiPriority w:val="9"/>
    <w:semiHidden/>
    <w:rsid w:val="004E787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E7876"/>
    <w:rPr>
      <w:rFonts w:ascii="Calibri" w:eastAsia="Times New Roman" w:hAnsi="Calibri" w:cs="Times New Roman"/>
      <w:b/>
      <w:bCs/>
    </w:rPr>
  </w:style>
  <w:style w:type="paragraph" w:customStyle="1" w:styleId="Quick1">
    <w:name w:val="Quick 1."/>
    <w:uiPriority w:val="99"/>
    <w:rsid w:val="00585C62"/>
    <w:pPr>
      <w:ind w:left="720" w:hanging="720"/>
    </w:pPr>
    <w:rPr>
      <w:rFonts w:ascii="Times New" w:hAnsi="Times New"/>
      <w:color w:val="000000"/>
      <w:kern w:val="28"/>
      <w:sz w:val="24"/>
      <w:szCs w:val="24"/>
    </w:rPr>
  </w:style>
  <w:style w:type="paragraph" w:styleId="Footer">
    <w:name w:val="footer"/>
    <w:basedOn w:val="Normal"/>
    <w:link w:val="FooterChar"/>
    <w:uiPriority w:val="99"/>
    <w:rsid w:val="00585C62"/>
    <w:pPr>
      <w:tabs>
        <w:tab w:val="center" w:pos="4320"/>
        <w:tab w:val="right" w:pos="8640"/>
      </w:tabs>
    </w:pPr>
  </w:style>
  <w:style w:type="character" w:customStyle="1" w:styleId="FooterChar">
    <w:name w:val="Footer Char"/>
    <w:link w:val="Footer"/>
    <w:uiPriority w:val="99"/>
    <w:semiHidden/>
    <w:rsid w:val="004E7876"/>
    <w:rPr>
      <w:sz w:val="24"/>
      <w:szCs w:val="24"/>
    </w:rPr>
  </w:style>
  <w:style w:type="character" w:styleId="PageNumber">
    <w:name w:val="page number"/>
    <w:uiPriority w:val="99"/>
    <w:rsid w:val="00585C62"/>
    <w:rPr>
      <w:rFonts w:cs="Times New Roman"/>
    </w:rPr>
  </w:style>
  <w:style w:type="paragraph" w:customStyle="1" w:styleId="Level1">
    <w:name w:val="Level 1"/>
    <w:uiPriority w:val="99"/>
    <w:rsid w:val="00585C62"/>
    <w:pPr>
      <w:ind w:left="720"/>
    </w:pPr>
    <w:rPr>
      <w:sz w:val="24"/>
    </w:rPr>
  </w:style>
  <w:style w:type="paragraph" w:styleId="Header">
    <w:name w:val="header"/>
    <w:basedOn w:val="Normal"/>
    <w:link w:val="HeaderChar"/>
    <w:uiPriority w:val="99"/>
    <w:rsid w:val="00585C62"/>
    <w:pPr>
      <w:tabs>
        <w:tab w:val="center" w:pos="4320"/>
        <w:tab w:val="right" w:pos="8640"/>
      </w:tabs>
    </w:pPr>
    <w:rPr>
      <w:szCs w:val="20"/>
    </w:rPr>
  </w:style>
  <w:style w:type="character" w:customStyle="1" w:styleId="HeaderChar">
    <w:name w:val="Header Char"/>
    <w:link w:val="Header"/>
    <w:uiPriority w:val="99"/>
    <w:semiHidden/>
    <w:rsid w:val="004E7876"/>
    <w:rPr>
      <w:sz w:val="24"/>
      <w:szCs w:val="24"/>
    </w:rPr>
  </w:style>
  <w:style w:type="paragraph" w:styleId="BodyText">
    <w:name w:val="Body Text"/>
    <w:basedOn w:val="Normal"/>
    <w:link w:val="BodyTextChar"/>
    <w:uiPriority w:val="99"/>
    <w:rsid w:val="00585C62"/>
    <w:rPr>
      <w:color w:val="0000FF"/>
      <w:szCs w:val="20"/>
    </w:rPr>
  </w:style>
  <w:style w:type="character" w:customStyle="1" w:styleId="BodyTextChar">
    <w:name w:val="Body Text Char"/>
    <w:link w:val="BodyText"/>
    <w:uiPriority w:val="99"/>
    <w:semiHidden/>
    <w:rsid w:val="004E7876"/>
    <w:rPr>
      <w:sz w:val="24"/>
      <w:szCs w:val="24"/>
    </w:rPr>
  </w:style>
  <w:style w:type="paragraph" w:styleId="BalloonText">
    <w:name w:val="Balloon Text"/>
    <w:basedOn w:val="Normal"/>
    <w:link w:val="BalloonTextChar"/>
    <w:uiPriority w:val="99"/>
    <w:semiHidden/>
    <w:rsid w:val="00585C62"/>
    <w:rPr>
      <w:rFonts w:ascii="Tahoma" w:hAnsi="Tahoma" w:cs="Tahoma"/>
      <w:sz w:val="16"/>
      <w:szCs w:val="16"/>
    </w:rPr>
  </w:style>
  <w:style w:type="character" w:customStyle="1" w:styleId="BalloonTextChar">
    <w:name w:val="Balloon Text Char"/>
    <w:link w:val="BalloonText"/>
    <w:uiPriority w:val="99"/>
    <w:semiHidden/>
    <w:rsid w:val="004E7876"/>
    <w:rPr>
      <w:sz w:val="0"/>
      <w:szCs w:val="0"/>
    </w:rPr>
  </w:style>
  <w:style w:type="paragraph" w:styleId="BodyText2">
    <w:name w:val="Body Text 2"/>
    <w:basedOn w:val="Normal"/>
    <w:link w:val="BodyText2Char"/>
    <w:uiPriority w:val="99"/>
    <w:rsid w:val="00585C62"/>
    <w:pPr>
      <w:autoSpaceDE w:val="0"/>
      <w:autoSpaceDN w:val="0"/>
      <w:adjustRightInd w:val="0"/>
    </w:pPr>
    <w:rPr>
      <w:u w:val="single"/>
    </w:rPr>
  </w:style>
  <w:style w:type="character" w:customStyle="1" w:styleId="BodyText2Char">
    <w:name w:val="Body Text 2 Char"/>
    <w:link w:val="BodyText2"/>
    <w:uiPriority w:val="99"/>
    <w:semiHidden/>
    <w:rsid w:val="004E7876"/>
    <w:rPr>
      <w:sz w:val="24"/>
      <w:szCs w:val="24"/>
    </w:rPr>
  </w:style>
  <w:style w:type="paragraph" w:styleId="BodyTextIndent">
    <w:name w:val="Body Text Indent"/>
    <w:basedOn w:val="Normal"/>
    <w:link w:val="BodyTextIndentChar"/>
    <w:uiPriority w:val="99"/>
    <w:rsid w:val="00585C62"/>
    <w:pPr>
      <w:autoSpaceDE w:val="0"/>
      <w:autoSpaceDN w:val="0"/>
      <w:adjustRightInd w:val="0"/>
      <w:ind w:left="720"/>
    </w:pPr>
    <w:rPr>
      <w:u w:val="single"/>
    </w:rPr>
  </w:style>
  <w:style w:type="character" w:customStyle="1" w:styleId="BodyTextIndentChar">
    <w:name w:val="Body Text Indent Char"/>
    <w:link w:val="BodyTextIndent"/>
    <w:uiPriority w:val="99"/>
    <w:semiHidden/>
    <w:rsid w:val="004E7876"/>
    <w:rPr>
      <w:sz w:val="24"/>
      <w:szCs w:val="24"/>
    </w:rPr>
  </w:style>
  <w:style w:type="paragraph" w:styleId="BodyTextIndent2">
    <w:name w:val="Body Text Indent 2"/>
    <w:basedOn w:val="Normal"/>
    <w:link w:val="BodyTextIndent2Char"/>
    <w:uiPriority w:val="99"/>
    <w:rsid w:val="00585C62"/>
    <w:pPr>
      <w:ind w:left="1440" w:hanging="720"/>
    </w:pPr>
  </w:style>
  <w:style w:type="character" w:customStyle="1" w:styleId="BodyTextIndent2Char">
    <w:name w:val="Body Text Indent 2 Char"/>
    <w:link w:val="BodyTextIndent2"/>
    <w:uiPriority w:val="99"/>
    <w:semiHidden/>
    <w:rsid w:val="004E7876"/>
    <w:rPr>
      <w:sz w:val="24"/>
      <w:szCs w:val="24"/>
    </w:rPr>
  </w:style>
  <w:style w:type="paragraph" w:customStyle="1" w:styleId="section">
    <w:name w:val="section"/>
    <w:basedOn w:val="Normal"/>
    <w:uiPriority w:val="99"/>
    <w:rsid w:val="00585C62"/>
    <w:pPr>
      <w:spacing w:before="100" w:beforeAutospacing="1" w:after="100" w:afterAutospacing="1"/>
    </w:pPr>
    <w:rPr>
      <w:rFonts w:ascii="Helvetica" w:hAnsi="Helvetica"/>
      <w:b/>
      <w:bCs/>
      <w:sz w:val="28"/>
      <w:szCs w:val="28"/>
    </w:rPr>
  </w:style>
  <w:style w:type="paragraph" w:customStyle="1" w:styleId="level10">
    <w:name w:val="level1"/>
    <w:basedOn w:val="Normal"/>
    <w:uiPriority w:val="99"/>
    <w:rsid w:val="00585C62"/>
    <w:pPr>
      <w:spacing w:before="100" w:beforeAutospacing="1" w:after="100" w:afterAutospacing="1"/>
      <w:ind w:left="360" w:hanging="360"/>
    </w:pPr>
    <w:rPr>
      <w:rFonts w:ascii="Helvetica" w:hAnsi="Helvetica"/>
    </w:rPr>
  </w:style>
  <w:style w:type="paragraph" w:customStyle="1" w:styleId="level2">
    <w:name w:val="level2"/>
    <w:basedOn w:val="Normal"/>
    <w:uiPriority w:val="99"/>
    <w:rsid w:val="00585C62"/>
    <w:pPr>
      <w:spacing w:before="100" w:beforeAutospacing="1" w:after="100" w:afterAutospacing="1"/>
      <w:ind w:left="360"/>
    </w:pPr>
    <w:rPr>
      <w:rFonts w:ascii="Helvetica" w:hAnsi="Helvetica"/>
    </w:rPr>
  </w:style>
  <w:style w:type="paragraph" w:customStyle="1" w:styleId="level3">
    <w:name w:val="level3"/>
    <w:basedOn w:val="Normal"/>
    <w:uiPriority w:val="99"/>
    <w:rsid w:val="00585C62"/>
    <w:pPr>
      <w:spacing w:before="100" w:beforeAutospacing="1" w:after="100" w:afterAutospacing="1"/>
      <w:ind w:left="600"/>
    </w:pPr>
    <w:rPr>
      <w:rFonts w:ascii="Helvetica" w:hAnsi="Helvetica"/>
    </w:rPr>
  </w:style>
  <w:style w:type="paragraph" w:styleId="HTMLPreformatted">
    <w:name w:val="HTML Preformatted"/>
    <w:basedOn w:val="Normal"/>
    <w:link w:val="HTMLPreformattedChar"/>
    <w:uiPriority w:val="99"/>
    <w:rsid w:val="0058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4E787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51D6925054B4F9709ADC3CF1B5F15" ma:contentTypeVersion="13" ma:contentTypeDescription="Create a new document." ma:contentTypeScope="" ma:versionID="d288f3b155a32b7ae677823dab2fe680">
  <xsd:schema xmlns:xsd="http://www.w3.org/2001/XMLSchema" xmlns:xs="http://www.w3.org/2001/XMLSchema" xmlns:p="http://schemas.microsoft.com/office/2006/metadata/properties" xmlns:ns3="f96c0543-cf8a-43c6-9b9a-12a952f1a808" xmlns:ns4="55e3d031-8580-497f-aa81-1cfedb946249" targetNamespace="http://schemas.microsoft.com/office/2006/metadata/properties" ma:root="true" ma:fieldsID="c55fd06d08bf164edfeba44e0cd67112" ns3:_="" ns4:_="">
    <xsd:import namespace="f96c0543-cf8a-43c6-9b9a-12a952f1a808"/>
    <xsd:import namespace="55e3d031-8580-497f-aa81-1cfedb9462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0543-cf8a-43c6-9b9a-12a952f1a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3d031-8580-497f-aa81-1cfedb946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AE715-570A-4F4D-838D-278AB745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0543-cf8a-43c6-9b9a-12a952f1a808"/>
    <ds:schemaRef ds:uri="55e3d031-8580-497f-aa81-1cfedb946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DEFF7-E475-46BC-AC86-89D28C829300}">
  <ds:schemaRefs>
    <ds:schemaRef ds:uri="http://schemas.microsoft.com/sharepoint/v3/contenttype/forms"/>
  </ds:schemaRefs>
</ds:datastoreItem>
</file>

<file path=customXml/itemProps3.xml><?xml version="1.0" encoding="utf-8"?>
<ds:datastoreItem xmlns:ds="http://schemas.openxmlformats.org/officeDocument/2006/customXml" ds:itemID="{39EA8D50-1E54-46A8-8A6B-76F610D02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No:</vt:lpstr>
    </vt:vector>
  </TitlesOfParts>
  <Company>City of Sandpoint</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City of Sandpoint</dc:creator>
  <cp:lastModifiedBy>Karla Nelson</cp:lastModifiedBy>
  <cp:revision>2</cp:revision>
  <cp:lastPrinted>2011-04-26T21:11:00Z</cp:lastPrinted>
  <dcterms:created xsi:type="dcterms:W3CDTF">2020-10-15T21:19:00Z</dcterms:created>
  <dcterms:modified xsi:type="dcterms:W3CDTF">2020-10-15T21:19:00Z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0x01010025251D6925054B4F9709ADC3CF1B5F15</vt:lpwstr>
  </property>
</Properties>
</file>